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41EE8">
      <w:pPr>
        <w:jc w:val="center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储蛾房加固</w:t>
      </w:r>
      <w:r>
        <w:rPr>
          <w:rFonts w:hint="eastAsia"/>
          <w:b/>
          <w:bCs/>
          <w:sz w:val="52"/>
          <w:szCs w:val="52"/>
        </w:rPr>
        <w:t>邀请招标文件​</w:t>
      </w:r>
    </w:p>
    <w:p w14:paraId="0615C274">
      <w:r>
        <w:rPr>
          <w:rFonts w:hint="eastAsia"/>
        </w:rPr>
        <w:t>​</w:t>
      </w:r>
    </w:p>
    <w:p w14:paraId="0BE68793"/>
    <w:p w14:paraId="78798035"/>
    <w:p w14:paraId="3BA8424D"/>
    <w:p w14:paraId="66F3A7B2"/>
    <w:p w14:paraId="68A91B4F">
      <w:pPr>
        <w:rPr>
          <w:sz w:val="32"/>
          <w:szCs w:val="32"/>
        </w:rPr>
      </w:pPr>
    </w:p>
    <w:p w14:paraId="5394BFE1">
      <w:pPr>
        <w:ind w:firstLine="2240" w:firstLineChars="700"/>
        <w:rPr>
          <w:sz w:val="32"/>
          <w:szCs w:val="32"/>
        </w:rPr>
      </w:pPr>
    </w:p>
    <w:p w14:paraId="0D76D1E6">
      <w:pPr>
        <w:ind w:firstLine="1920" w:firstLineChars="600"/>
        <w:rPr>
          <w:sz w:val="32"/>
          <w:szCs w:val="32"/>
        </w:rPr>
      </w:pPr>
      <w:r>
        <w:rPr>
          <w:rFonts w:hint="eastAsia"/>
          <w:sz w:val="32"/>
          <w:szCs w:val="32"/>
        </w:rPr>
        <w:t>招标编号：</w:t>
      </w:r>
      <w:r>
        <w:rPr>
          <w:rFonts w:hint="eastAsia"/>
          <w:sz w:val="32"/>
          <w:szCs w:val="32"/>
          <w:u w:val="single"/>
        </w:rPr>
        <w:t>202</w:t>
      </w:r>
      <w:r>
        <w:rPr>
          <w:rFonts w:hint="eastAsia"/>
          <w:sz w:val="32"/>
          <w:szCs w:val="32"/>
          <w:u w:val="single"/>
          <w:lang w:val="en-US" w:eastAsia="zh-CN"/>
        </w:rPr>
        <w:t>61015</w:t>
      </w:r>
      <w:r>
        <w:rPr>
          <w:rFonts w:hint="eastAsia"/>
          <w:sz w:val="32"/>
          <w:szCs w:val="32"/>
          <w:u w:val="single"/>
        </w:rPr>
        <w:t>号</w:t>
      </w:r>
      <w:r>
        <w:rPr>
          <w:rFonts w:hint="eastAsia"/>
          <w:sz w:val="32"/>
          <w:szCs w:val="32"/>
        </w:rPr>
        <w:t>​</w:t>
      </w:r>
    </w:p>
    <w:p w14:paraId="0983CA2F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​            </w:t>
      </w:r>
    </w:p>
    <w:p w14:paraId="628E0D88">
      <w:pPr>
        <w:rPr>
          <w:sz w:val="32"/>
          <w:szCs w:val="32"/>
        </w:rPr>
      </w:pPr>
    </w:p>
    <w:p w14:paraId="0AB6FFF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项目名称：</w:t>
      </w:r>
      <w:r>
        <w:rPr>
          <w:rFonts w:hint="eastAsia"/>
          <w:sz w:val="32"/>
          <w:szCs w:val="32"/>
          <w:u w:val="single"/>
        </w:rPr>
        <w:t>重庆市蚕业总站</w:t>
      </w:r>
      <w:r>
        <w:rPr>
          <w:rFonts w:hint="eastAsia"/>
          <w:sz w:val="32"/>
          <w:szCs w:val="32"/>
          <w:u w:val="single"/>
          <w:lang w:val="en-US" w:eastAsia="zh-CN"/>
        </w:rPr>
        <w:t>储蛾房加固工程</w:t>
      </w:r>
      <w:r>
        <w:rPr>
          <w:rFonts w:hint="eastAsia"/>
          <w:sz w:val="32"/>
          <w:szCs w:val="32"/>
        </w:rPr>
        <w:t>​</w:t>
      </w:r>
    </w:p>
    <w:p w14:paraId="0D015DA9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​           </w:t>
      </w:r>
    </w:p>
    <w:p w14:paraId="78F11362">
      <w:pPr>
        <w:rPr>
          <w:sz w:val="32"/>
          <w:szCs w:val="32"/>
        </w:rPr>
      </w:pPr>
    </w:p>
    <w:p w14:paraId="2636E391">
      <w:pPr>
        <w:ind w:firstLine="1920" w:firstLineChars="600"/>
        <w:rPr>
          <w:sz w:val="32"/>
          <w:szCs w:val="32"/>
        </w:rPr>
      </w:pPr>
      <w:r>
        <w:rPr>
          <w:rFonts w:hint="eastAsia"/>
          <w:sz w:val="32"/>
          <w:szCs w:val="32"/>
        </w:rPr>
        <w:t>招标人：</w:t>
      </w:r>
      <w:r>
        <w:rPr>
          <w:rFonts w:hint="eastAsia"/>
          <w:sz w:val="32"/>
          <w:szCs w:val="32"/>
          <w:u w:val="single"/>
        </w:rPr>
        <w:t>重庆市蚕业总站</w:t>
      </w:r>
      <w:r>
        <w:rPr>
          <w:rFonts w:hint="eastAsia"/>
          <w:sz w:val="32"/>
          <w:szCs w:val="32"/>
        </w:rPr>
        <w:t>​</w:t>
      </w:r>
    </w:p>
    <w:p w14:paraId="4ADB01EA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​          </w:t>
      </w:r>
    </w:p>
    <w:p w14:paraId="073C462C">
      <w:pPr>
        <w:rPr>
          <w:sz w:val="32"/>
          <w:szCs w:val="32"/>
        </w:rPr>
      </w:pPr>
    </w:p>
    <w:p w14:paraId="2F706FBD">
      <w:pPr>
        <w:ind w:firstLine="1920" w:firstLineChars="600"/>
        <w:rPr>
          <w:sz w:val="32"/>
          <w:szCs w:val="32"/>
        </w:rPr>
      </w:pPr>
      <w:r>
        <w:rPr>
          <w:rFonts w:hint="eastAsia"/>
          <w:sz w:val="32"/>
          <w:szCs w:val="32"/>
        </w:rPr>
        <w:t>日期：</w:t>
      </w:r>
      <w:r>
        <w:rPr>
          <w:rFonts w:hint="eastAsia"/>
          <w:sz w:val="32"/>
          <w:szCs w:val="32"/>
          <w:u w:val="single"/>
        </w:rPr>
        <w:t>202</w:t>
      </w:r>
      <w:r>
        <w:rPr>
          <w:rFonts w:hint="eastAsia"/>
          <w:sz w:val="32"/>
          <w:szCs w:val="32"/>
          <w:u w:val="single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u w:val="single"/>
          <w:lang w:val="en-US" w:eastAsia="zh-CN"/>
        </w:rPr>
        <w:t>10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u w:val="single"/>
          <w:lang w:val="en-US" w:eastAsia="zh-CN"/>
        </w:rPr>
        <w:t>19</w:t>
      </w:r>
      <w:r>
        <w:rPr>
          <w:rFonts w:hint="eastAsia"/>
          <w:sz w:val="32"/>
          <w:szCs w:val="32"/>
        </w:rPr>
        <w:t>日</w:t>
      </w:r>
    </w:p>
    <w:p w14:paraId="237EB539">
      <w:pPr>
        <w:ind w:firstLine="1920" w:firstLineChars="600"/>
        <w:rPr>
          <w:sz w:val="32"/>
          <w:szCs w:val="32"/>
        </w:rPr>
      </w:pPr>
    </w:p>
    <w:p w14:paraId="6AFF127F">
      <w:pPr>
        <w:ind w:firstLine="1920" w:firstLineChars="600"/>
        <w:rPr>
          <w:sz w:val="32"/>
          <w:szCs w:val="32"/>
        </w:rPr>
      </w:pPr>
    </w:p>
    <w:p w14:paraId="346882E4">
      <w:pPr>
        <w:ind w:firstLine="1920" w:firstLineChars="60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联系人：</w:t>
      </w:r>
      <w:r>
        <w:rPr>
          <w:rFonts w:hint="eastAsia"/>
          <w:sz w:val="32"/>
          <w:szCs w:val="32"/>
          <w:u w:val="single"/>
          <w:lang w:val="en-US" w:eastAsia="zh-CN"/>
        </w:rPr>
        <w:t>鲁光宇</w:t>
      </w:r>
      <w:r>
        <w:rPr>
          <w:rFonts w:hint="eastAsia"/>
          <w:sz w:val="32"/>
          <w:szCs w:val="32"/>
          <w:u w:val="single"/>
        </w:rPr>
        <w:t xml:space="preserve">  </w:t>
      </w:r>
      <w:r>
        <w:rPr>
          <w:rFonts w:hint="eastAsia"/>
          <w:sz w:val="32"/>
          <w:szCs w:val="32"/>
          <w:u w:val="single"/>
          <w:lang w:val="en-US" w:eastAsia="zh-CN"/>
        </w:rPr>
        <w:t>18983684977</w:t>
      </w:r>
      <w:r>
        <w:rPr>
          <w:rFonts w:hint="eastAsia"/>
          <w:sz w:val="32"/>
          <w:szCs w:val="32"/>
          <w:u w:val="single"/>
        </w:rPr>
        <w:t>​</w:t>
      </w:r>
    </w:p>
    <w:p w14:paraId="4B0BC34E">
      <w:r>
        <w:br w:type="page"/>
      </w:r>
    </w:p>
    <w:p w14:paraId="66234479">
      <w:pPr>
        <w:pStyle w:val="18"/>
      </w:pPr>
      <w:r>
        <w:t>​第一部分 招标公告​</w:t>
      </w:r>
    </w:p>
    <w:p w14:paraId="42966B64">
      <w:pPr>
        <w:pStyle w:val="19"/>
        <w:ind w:firstLine="482"/>
      </w:pPr>
      <w:r>
        <w:t>​1. 招标条件​</w:t>
      </w:r>
    </w:p>
    <w:p w14:paraId="51F4D25B">
      <w:pPr>
        <w:pStyle w:val="11"/>
        <w:ind w:firstLine="480"/>
      </w:pPr>
      <w:r>
        <w:t>本招标项目</w:t>
      </w:r>
      <w:r>
        <w:rPr>
          <w:u w:val="single"/>
        </w:rPr>
        <w:t>_</w:t>
      </w:r>
      <w:r>
        <w:rPr>
          <w:rFonts w:hint="eastAsia"/>
          <w:u w:val="single"/>
        </w:rPr>
        <w:t>重庆市蚕业总站维修项目</w:t>
      </w:r>
      <w:r>
        <w:t>已按程序批准建设，项目业主为</w:t>
      </w:r>
      <w:r>
        <w:rPr>
          <w:u w:val="single"/>
        </w:rPr>
        <w:t>_</w:t>
      </w:r>
      <w:r>
        <w:rPr>
          <w:rFonts w:hint="eastAsia"/>
          <w:u w:val="single"/>
        </w:rPr>
        <w:t>重庆市蚕业总站</w:t>
      </w:r>
      <w:r>
        <w:t>_，建设资金来自</w:t>
      </w:r>
      <w:r>
        <w:rPr>
          <w:rFonts w:hint="eastAsia"/>
          <w:u w:val="single"/>
        </w:rPr>
        <w:t>自筹资金</w:t>
      </w:r>
      <w:r>
        <w:t>，项目出资比例为_</w:t>
      </w:r>
      <w:r>
        <w:rPr>
          <w:rFonts w:hint="eastAsia"/>
          <w:u w:val="single"/>
        </w:rPr>
        <w:t>100%</w:t>
      </w:r>
      <w:r>
        <w:t>，招标人为</w:t>
      </w:r>
      <w:r>
        <w:rPr>
          <w:rFonts w:hint="eastAsia"/>
          <w:u w:val="single"/>
        </w:rPr>
        <w:t>重庆市蚕业总站</w:t>
      </w:r>
      <w:r>
        <w:t>。项目已具备招标条件，现邀请符合条件的投标人参加投标。</w:t>
      </w:r>
    </w:p>
    <w:p w14:paraId="0D24BBC9">
      <w:pPr>
        <w:pStyle w:val="19"/>
        <w:ind w:firstLine="482"/>
      </w:pPr>
      <w:r>
        <w:t>​2. 项目概况与招标范围​</w:t>
      </w:r>
    </w:p>
    <w:p w14:paraId="4E8E363F">
      <w:pPr>
        <w:pStyle w:val="11"/>
        <w:ind w:firstLine="480"/>
        <w:rPr>
          <w:rFonts w:hint="default" w:eastAsia="宋体"/>
          <w:lang w:val="en-US" w:eastAsia="zh-CN"/>
        </w:rPr>
      </w:pPr>
      <w:r>
        <w:t>​工程名称​：</w:t>
      </w:r>
      <w:r>
        <w:rPr>
          <w:rFonts w:hint="eastAsia"/>
          <w:u w:val="single"/>
        </w:rPr>
        <w:t>重庆市蚕业总站</w:t>
      </w:r>
      <w:r>
        <w:rPr>
          <w:rFonts w:hint="eastAsia"/>
          <w:u w:val="single"/>
          <w:lang w:val="en-US" w:eastAsia="zh-CN"/>
        </w:rPr>
        <w:t>储蛾房加固</w:t>
      </w:r>
    </w:p>
    <w:p w14:paraId="0B546F68">
      <w:pPr>
        <w:pStyle w:val="11"/>
        <w:ind w:firstLine="480"/>
      </w:pPr>
      <w:r>
        <w:t>​建设地点​：</w:t>
      </w:r>
      <w:r>
        <w:rPr>
          <w:rFonts w:hint="eastAsia"/>
          <w:u w:val="single"/>
        </w:rPr>
        <w:t>重庆市</w:t>
      </w:r>
      <w:r>
        <w:rPr>
          <w:rFonts w:hint="eastAsia"/>
          <w:u w:val="single"/>
          <w:lang w:val="en-US" w:eastAsia="zh-CN"/>
        </w:rPr>
        <w:t>两江新</w:t>
      </w:r>
      <w:r>
        <w:rPr>
          <w:rFonts w:hint="eastAsia"/>
          <w:u w:val="single"/>
        </w:rPr>
        <w:t>区华新村325号</w:t>
      </w:r>
    </w:p>
    <w:p w14:paraId="1CC4EA2B">
      <w:pPr>
        <w:pStyle w:val="11"/>
        <w:ind w:firstLine="480"/>
      </w:pPr>
      <w:r>
        <w:t>​工程内容​：</w:t>
      </w:r>
      <w:r>
        <w:rPr>
          <w:rFonts w:hint="eastAsia"/>
          <w:u w:val="single"/>
          <w:lang w:val="en-US" w:eastAsia="zh-CN"/>
        </w:rPr>
        <w:t>储蛾房加固</w:t>
      </w:r>
      <w:r>
        <w:t>_</w:t>
      </w:r>
    </w:p>
    <w:p w14:paraId="5B44B094">
      <w:pPr>
        <w:pStyle w:val="11"/>
        <w:ind w:firstLine="480"/>
      </w:pPr>
      <w:r>
        <w:t>​合同估算价​：人民币</w:t>
      </w:r>
      <w:r>
        <w:rPr>
          <w:u w:val="single"/>
        </w:rPr>
        <w:t>_</w:t>
      </w:r>
      <w:r>
        <w:rPr>
          <w:rFonts w:hint="eastAsia"/>
          <w:u w:val="single"/>
          <w:lang w:val="en-US" w:eastAsia="zh-CN"/>
        </w:rPr>
        <w:t>24000</w:t>
      </w:r>
      <w:r>
        <w:rPr>
          <w:rFonts w:hint="eastAsia"/>
          <w:u w:val="single"/>
        </w:rPr>
        <w:t>.00</w:t>
      </w:r>
      <w:r>
        <w:t>元（大写：</w:t>
      </w:r>
      <w:r>
        <w:rPr>
          <w:rFonts w:hint="eastAsia"/>
          <w:u w:val="single"/>
          <w:lang w:val="en-US" w:eastAsia="zh-CN"/>
        </w:rPr>
        <w:t>贰万肆仟</w:t>
      </w:r>
      <w:r>
        <w:rPr>
          <w:rFonts w:hint="eastAsia"/>
          <w:u w:val="single"/>
        </w:rPr>
        <w:t>元整</w:t>
      </w:r>
      <w:r>
        <w:t>）</w:t>
      </w:r>
    </w:p>
    <w:p w14:paraId="4CBD6C93">
      <w:pPr>
        <w:pStyle w:val="11"/>
        <w:ind w:firstLine="480"/>
      </w:pPr>
      <w:r>
        <w:t>​计划工期​：</w:t>
      </w:r>
      <w:r>
        <w:rPr>
          <w:rFonts w:hint="eastAsia"/>
          <w:u w:val="single"/>
        </w:rPr>
        <w:t>15</w:t>
      </w:r>
      <w:r>
        <w:t>日历天（自</w:t>
      </w:r>
      <w:r>
        <w:rPr>
          <w:rFonts w:hint="eastAsia"/>
          <w:u w:val="single"/>
        </w:rPr>
        <w:t>202</w:t>
      </w:r>
      <w:r>
        <w:rPr>
          <w:rFonts w:hint="eastAsia"/>
          <w:u w:val="single"/>
          <w:lang w:val="en-US" w:eastAsia="zh-CN"/>
        </w:rPr>
        <w:t>6</w:t>
      </w:r>
      <w:r>
        <w:t>年</w:t>
      </w:r>
      <w:r>
        <w:rPr>
          <w:rFonts w:hint="eastAsia"/>
          <w:u w:val="single"/>
          <w:lang w:val="en-US" w:eastAsia="zh-CN"/>
        </w:rPr>
        <w:t>10</w:t>
      </w:r>
      <w:r>
        <w:t>月</w:t>
      </w:r>
      <w:r>
        <w:rPr>
          <w:rFonts w:hint="eastAsia"/>
          <w:u w:val="single"/>
          <w:lang w:val="en-US" w:eastAsia="zh-CN"/>
        </w:rPr>
        <w:t>26</w:t>
      </w:r>
      <w:r>
        <w:t>日起至</w:t>
      </w:r>
      <w:r>
        <w:rPr>
          <w:rFonts w:hint="eastAsia"/>
          <w:u w:val="single"/>
        </w:rPr>
        <w:t>202</w:t>
      </w:r>
      <w:r>
        <w:rPr>
          <w:rFonts w:hint="eastAsia"/>
          <w:u w:val="single"/>
          <w:lang w:val="en-US" w:eastAsia="zh-CN"/>
        </w:rPr>
        <w:t>6</w:t>
      </w:r>
      <w:r>
        <w:t>年</w:t>
      </w:r>
      <w:r>
        <w:rPr>
          <w:rFonts w:hint="eastAsia"/>
          <w:u w:val="single"/>
          <w:lang w:val="en-US" w:eastAsia="zh-CN"/>
        </w:rPr>
        <w:t>11</w:t>
      </w:r>
      <w:r>
        <w:t>月</w:t>
      </w:r>
      <w:r>
        <w:rPr>
          <w:rFonts w:hint="eastAsia"/>
          <w:u w:val="single"/>
          <w:lang w:val="en-US" w:eastAsia="zh-CN"/>
        </w:rPr>
        <w:t>13</w:t>
      </w:r>
      <w:r>
        <w:t>日止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周六周日不施工</w:t>
      </w:r>
      <w:r>
        <w:t>）</w:t>
      </w:r>
    </w:p>
    <w:p w14:paraId="6D18CA92">
      <w:pPr>
        <w:pStyle w:val="11"/>
        <w:ind w:firstLine="480"/>
      </w:pPr>
      <w:r>
        <w:t>​招标范围​：</w:t>
      </w:r>
      <w:r>
        <w:rPr>
          <w:rFonts w:hint="eastAsia"/>
          <w:u w:val="single"/>
          <w:lang w:val="en-US" w:eastAsia="zh-CN"/>
        </w:rPr>
        <w:t>立柱加固、</w:t>
      </w:r>
      <w:r>
        <w:rPr>
          <w:rFonts w:hint="eastAsia"/>
          <w:u w:val="single"/>
        </w:rPr>
        <w:t>户外顶面补烂</w:t>
      </w:r>
      <w:r>
        <w:rPr>
          <w:rFonts w:hint="eastAsia"/>
          <w:u w:val="single"/>
          <w:lang w:val="en-US" w:eastAsia="zh-CN"/>
        </w:rPr>
        <w:t>防漏水</w:t>
      </w:r>
      <w:r>
        <w:rPr>
          <w:rFonts w:hint="eastAsia"/>
          <w:u w:val="single"/>
          <w:lang w:eastAsia="zh-CN"/>
        </w:rPr>
        <w:t>、</w:t>
      </w:r>
      <w:r>
        <w:rPr>
          <w:rFonts w:hint="eastAsia"/>
          <w:u w:val="single"/>
        </w:rPr>
        <w:t>屋内</w:t>
      </w:r>
      <w:r>
        <w:rPr>
          <w:rFonts w:hint="eastAsia"/>
          <w:u w:val="single"/>
          <w:lang w:val="en-US" w:eastAsia="zh-CN"/>
        </w:rPr>
        <w:t>墙面</w:t>
      </w:r>
      <w:r>
        <w:rPr>
          <w:rFonts w:hint="eastAsia"/>
          <w:u w:val="single"/>
        </w:rPr>
        <w:t>拉裂缝补缝</w:t>
      </w:r>
      <w:r>
        <w:rPr>
          <w:rFonts w:hint="eastAsia"/>
          <w:u w:val="single"/>
          <w:lang w:eastAsia="zh-CN"/>
        </w:rPr>
        <w:t>、</w:t>
      </w:r>
      <w:r>
        <w:rPr>
          <w:rFonts w:hint="eastAsia"/>
          <w:u w:val="single"/>
        </w:rPr>
        <w:t>室内加矩管等</w:t>
      </w:r>
    </w:p>
    <w:p w14:paraId="48645102">
      <w:pPr>
        <w:pStyle w:val="19"/>
        <w:ind w:firstLine="482"/>
      </w:pPr>
      <w:r>
        <w:t>​3. 投标人资格要求​</w:t>
      </w:r>
    </w:p>
    <w:p w14:paraId="284BCCA2">
      <w:pPr>
        <w:pStyle w:val="11"/>
        <w:ind w:firstLine="480"/>
      </w:pPr>
      <w:r>
        <w:t>​资质条件​：</w:t>
      </w:r>
      <w:r>
        <w:rPr>
          <w:u w:val="single"/>
        </w:rPr>
        <w:t>具备建筑工程施工承包</w:t>
      </w:r>
      <w:r>
        <w:rPr>
          <w:rFonts w:hint="eastAsia"/>
          <w:u w:val="single"/>
        </w:rPr>
        <w:t>经营</w:t>
      </w:r>
      <w:r>
        <w:rPr>
          <w:u w:val="single"/>
        </w:rPr>
        <w:t>资质，安全生产许可证有效。</w:t>
      </w:r>
    </w:p>
    <w:p w14:paraId="157DD666">
      <w:pPr>
        <w:pStyle w:val="11"/>
        <w:ind w:firstLine="480"/>
      </w:pPr>
      <w:r>
        <w:t>​信誉要求​：未被列入失信被执行人名单，无违法记录。</w:t>
      </w:r>
    </w:p>
    <w:p w14:paraId="64E4427A">
      <w:pPr>
        <w:pStyle w:val="19"/>
        <w:ind w:firstLine="482"/>
      </w:pPr>
      <w:r>
        <w:t>​4. 招标文件获取​</w:t>
      </w:r>
    </w:p>
    <w:p w14:paraId="00A1AB54">
      <w:pPr>
        <w:pStyle w:val="11"/>
        <w:ind w:firstLine="480"/>
      </w:pPr>
      <w:r>
        <w:t>​时间​：</w:t>
      </w:r>
      <w:r>
        <w:rPr>
          <w:rFonts w:hint="eastAsia"/>
          <w:u w:val="single"/>
        </w:rPr>
        <w:t>202</w:t>
      </w:r>
      <w:r>
        <w:rPr>
          <w:rFonts w:hint="eastAsia"/>
          <w:u w:val="single"/>
          <w:lang w:val="en-US" w:eastAsia="zh-CN"/>
        </w:rPr>
        <w:t>6</w:t>
      </w:r>
      <w:r>
        <w:t>年</w:t>
      </w:r>
      <w:r>
        <w:rPr>
          <w:rFonts w:hint="eastAsia"/>
          <w:u w:val="single"/>
          <w:lang w:val="en-US" w:eastAsia="zh-CN"/>
        </w:rPr>
        <w:t>10</w:t>
      </w:r>
      <w:r>
        <w:t>月</w:t>
      </w:r>
      <w:r>
        <w:rPr>
          <w:rFonts w:hint="eastAsia"/>
          <w:u w:val="single"/>
          <w:lang w:val="en-US" w:eastAsia="zh-CN"/>
        </w:rPr>
        <w:t>21</w:t>
      </w:r>
      <w:r>
        <w:t>日至</w:t>
      </w:r>
      <w:r>
        <w:rPr>
          <w:rFonts w:hint="eastAsia"/>
          <w:u w:val="single"/>
        </w:rPr>
        <w:t>202</w:t>
      </w:r>
      <w:r>
        <w:rPr>
          <w:rFonts w:hint="eastAsia"/>
          <w:u w:val="single"/>
          <w:lang w:val="en-US" w:eastAsia="zh-CN"/>
        </w:rPr>
        <w:t>6</w:t>
      </w:r>
      <w:r>
        <w:t>年</w:t>
      </w:r>
      <w:r>
        <w:rPr>
          <w:rFonts w:hint="eastAsia"/>
          <w:u w:val="single"/>
          <w:lang w:val="en-US" w:eastAsia="zh-CN"/>
        </w:rPr>
        <w:t>10</w:t>
      </w:r>
      <w:r>
        <w:t>月</w:t>
      </w:r>
      <w:r>
        <w:rPr>
          <w:rFonts w:hint="eastAsia"/>
          <w:u w:val="single"/>
          <w:lang w:val="en-US" w:eastAsia="zh-CN"/>
        </w:rPr>
        <w:t>23</w:t>
      </w:r>
      <w:r>
        <w:t>日（每日上午</w:t>
      </w:r>
      <w:r>
        <w:rPr>
          <w:rFonts w:hint="eastAsia"/>
          <w:u w:val="single"/>
        </w:rPr>
        <w:t>10</w:t>
      </w:r>
      <w:r>
        <w:t>时至</w:t>
      </w:r>
      <w:r>
        <w:rPr>
          <w:rFonts w:hint="eastAsia"/>
          <w:u w:val="single"/>
        </w:rPr>
        <w:t>12</w:t>
      </w:r>
      <w:r>
        <w:t>时，下午</w:t>
      </w:r>
      <w:r>
        <w:rPr>
          <w:rFonts w:hint="eastAsia"/>
          <w:u w:val="single"/>
        </w:rPr>
        <w:t>14</w:t>
      </w:r>
      <w:r>
        <w:t>时至</w:t>
      </w:r>
      <w:r>
        <w:rPr>
          <w:rFonts w:hint="eastAsia"/>
          <w:u w:val="single"/>
        </w:rPr>
        <w:t>17</w:t>
      </w:r>
      <w:r>
        <w:t>时）。</w:t>
      </w:r>
    </w:p>
    <w:p w14:paraId="48288B6C">
      <w:pPr>
        <w:pStyle w:val="11"/>
        <w:ind w:firstLine="480"/>
      </w:pPr>
      <w:r>
        <w:t>​地点​：</w:t>
      </w:r>
      <w:r>
        <w:rPr>
          <w:rFonts w:hint="eastAsia"/>
          <w:u w:val="single"/>
        </w:rPr>
        <w:t>重庆市</w:t>
      </w:r>
      <w:r>
        <w:rPr>
          <w:rFonts w:hint="eastAsia"/>
          <w:u w:val="single"/>
          <w:lang w:val="en-US" w:eastAsia="zh-CN"/>
        </w:rPr>
        <w:t>两江新</w:t>
      </w:r>
      <w:r>
        <w:rPr>
          <w:rFonts w:hint="eastAsia"/>
          <w:u w:val="single"/>
        </w:rPr>
        <w:t>区华新村325号综合办公室</w:t>
      </w:r>
    </w:p>
    <w:p w14:paraId="574FEA63">
      <w:pPr>
        <w:pStyle w:val="19"/>
        <w:ind w:firstLine="482"/>
      </w:pPr>
      <w:r>
        <w:t>​5. 投标文件的递交​</w:t>
      </w:r>
    </w:p>
    <w:p w14:paraId="338543CD">
      <w:pPr>
        <w:pStyle w:val="11"/>
        <w:ind w:firstLine="480"/>
      </w:pPr>
      <w:r>
        <w:t>​截止时间​：</w:t>
      </w:r>
      <w:r>
        <w:rPr>
          <w:rFonts w:hint="eastAsia"/>
          <w:u w:val="single"/>
        </w:rPr>
        <w:t>202</w:t>
      </w:r>
      <w:r>
        <w:rPr>
          <w:rFonts w:hint="eastAsia"/>
          <w:u w:val="single"/>
          <w:lang w:val="en-US" w:eastAsia="zh-CN"/>
        </w:rPr>
        <w:t>6</w:t>
      </w:r>
      <w:r>
        <w:t>年</w:t>
      </w:r>
      <w:r>
        <w:rPr>
          <w:rFonts w:hint="eastAsia"/>
          <w:u w:val="single"/>
          <w:lang w:val="en-US" w:eastAsia="zh-CN"/>
        </w:rPr>
        <w:t>10</w:t>
      </w:r>
      <w:r>
        <w:t>月</w:t>
      </w:r>
      <w:r>
        <w:rPr>
          <w:rFonts w:hint="eastAsia"/>
          <w:u w:val="single"/>
          <w:lang w:val="en-US" w:eastAsia="zh-CN"/>
        </w:rPr>
        <w:t>23</w:t>
      </w:r>
      <w:r>
        <w:t>日</w:t>
      </w:r>
      <w:r>
        <w:rPr>
          <w:rFonts w:hint="eastAsia"/>
          <w:u w:val="single"/>
          <w:lang w:val="en-US" w:eastAsia="zh-CN"/>
        </w:rPr>
        <w:t>14</w:t>
      </w:r>
      <w:r>
        <w:t>时</w:t>
      </w:r>
      <w:r>
        <w:rPr>
          <w:rFonts w:hint="eastAsia"/>
          <w:u w:val="single"/>
        </w:rPr>
        <w:t>00</w:t>
      </w:r>
      <w:r>
        <w:t>分（北京时间）。</w:t>
      </w:r>
    </w:p>
    <w:p w14:paraId="2F49642B">
      <w:pPr>
        <w:pStyle w:val="11"/>
        <w:ind w:firstLine="480"/>
        <w:rPr>
          <w:u w:val="single"/>
        </w:rPr>
      </w:pPr>
      <w:r>
        <w:t>​递交地点​：</w:t>
      </w:r>
      <w:r>
        <w:rPr>
          <w:rFonts w:hint="eastAsia"/>
          <w:u w:val="single"/>
        </w:rPr>
        <w:t>重庆市</w:t>
      </w:r>
      <w:r>
        <w:rPr>
          <w:rFonts w:hint="eastAsia"/>
          <w:u w:val="single"/>
          <w:lang w:val="en-US" w:eastAsia="zh-CN"/>
        </w:rPr>
        <w:t>两江新区</w:t>
      </w:r>
      <w:r>
        <w:rPr>
          <w:rFonts w:hint="eastAsia"/>
          <w:u w:val="single"/>
        </w:rPr>
        <w:t>华新村325号</w:t>
      </w:r>
    </w:p>
    <w:p w14:paraId="2941B29F">
      <w:pPr>
        <w:pStyle w:val="11"/>
        <w:ind w:firstLine="480"/>
        <w:rPr>
          <w:rFonts w:hint="eastAsia" w:eastAsia="宋体"/>
          <w:lang w:eastAsia="zh-CN"/>
        </w:rPr>
      </w:pPr>
      <w:r>
        <w:t>​密封要求​：正本、副本分别密封，封面注明“投标文件”及项目名称</w:t>
      </w:r>
      <w:r>
        <w:rPr>
          <w:rFonts w:hint="eastAsia"/>
          <w:lang w:eastAsia="zh-CN"/>
        </w:rPr>
        <w:t>。</w:t>
      </w:r>
    </w:p>
    <w:p w14:paraId="7236FAA0">
      <w:pPr>
        <w:pStyle w:val="19"/>
        <w:ind w:firstLine="482"/>
      </w:pPr>
      <w:r>
        <w:t>​6. 开标时间及地点​</w:t>
      </w:r>
    </w:p>
    <w:p w14:paraId="682FA1D0">
      <w:pPr>
        <w:spacing w:after="120" w:line="360" w:lineRule="auto"/>
        <w:ind w:left="480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​时间​：</w:t>
      </w:r>
      <w:r>
        <w:rPr>
          <w:rFonts w:hint="eastAsia" w:ascii="Times New Roman" w:hAnsi="Times New Roman" w:eastAsia="宋体" w:cs="Times New Roman"/>
          <w:sz w:val="24"/>
          <w:u w:val="single"/>
        </w:rPr>
        <w:t>202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sz w:val="24"/>
        </w:rPr>
        <w:t>年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10</w:t>
      </w:r>
      <w:r>
        <w:rPr>
          <w:rFonts w:hint="eastAsia" w:ascii="Times New Roman" w:hAnsi="Times New Roman" w:eastAsia="宋体" w:cs="Times New Roman"/>
          <w:sz w:val="24"/>
        </w:rPr>
        <w:t>月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sz w:val="24"/>
        </w:rPr>
        <w:t>日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14</w:t>
      </w:r>
      <w:r>
        <w:rPr>
          <w:rFonts w:hint="eastAsia" w:ascii="Times New Roman" w:hAnsi="Times New Roman" w:eastAsia="宋体" w:cs="Times New Roman"/>
          <w:sz w:val="24"/>
        </w:rPr>
        <w:t>时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u w:val="single"/>
        </w:rPr>
        <w:t>0</w:t>
      </w:r>
      <w:r>
        <w:rPr>
          <w:rFonts w:hint="eastAsia" w:ascii="Times New Roman" w:hAnsi="Times New Roman" w:eastAsia="宋体" w:cs="Times New Roman"/>
          <w:sz w:val="24"/>
        </w:rPr>
        <w:t>分</w:t>
      </w:r>
    </w:p>
    <w:p w14:paraId="188F4E24">
      <w:pPr>
        <w:spacing w:after="120" w:line="360" w:lineRule="auto"/>
        <w:ind w:left="480"/>
        <w:rPr>
          <w:rFonts w:ascii="Times New Roman" w:hAnsi="Times New Roman" w:eastAsia="宋体" w:cs="Times New Roman"/>
          <w:sz w:val="24"/>
          <w:u w:val="single"/>
        </w:rPr>
      </w:pPr>
      <w:r>
        <w:rPr>
          <w:rFonts w:hint="eastAsia" w:ascii="Times New Roman" w:hAnsi="Times New Roman" w:eastAsia="宋体" w:cs="Times New Roman"/>
          <w:sz w:val="24"/>
        </w:rPr>
        <w:t>​地点​：</w:t>
      </w:r>
      <w:r>
        <w:rPr>
          <w:rFonts w:hint="eastAsia" w:ascii="Times New Roman" w:hAnsi="Times New Roman" w:eastAsia="宋体" w:cs="Times New Roman"/>
          <w:sz w:val="24"/>
          <w:u w:val="single"/>
        </w:rPr>
        <w:t>重庆市</w:t>
      </w:r>
      <w:r>
        <w:rPr>
          <w:rFonts w:hint="eastAsia" w:ascii="Times New Roman" w:hAnsi="Times New Roman" w:eastAsia="宋体" w:cs="Times New Roman"/>
          <w:sz w:val="24"/>
          <w:u w:val="single"/>
          <w:lang w:val="en-US" w:eastAsia="zh-CN"/>
        </w:rPr>
        <w:t>两江新区</w:t>
      </w:r>
      <w:r>
        <w:rPr>
          <w:rFonts w:hint="eastAsia" w:ascii="Times New Roman" w:hAnsi="Times New Roman" w:eastAsia="宋体" w:cs="Times New Roman"/>
          <w:sz w:val="24"/>
          <w:u w:val="single"/>
        </w:rPr>
        <w:t>华新村325号三楼办公室</w:t>
      </w:r>
    </w:p>
    <w:p w14:paraId="3495F1EF">
      <w:pPr>
        <w:pStyle w:val="19"/>
        <w:ind w:firstLine="482"/>
      </w:pPr>
      <w:r>
        <w:t>​7. 发布公告的媒介​</w:t>
      </w:r>
    </w:p>
    <w:p w14:paraId="076641A6">
      <w:pPr>
        <w:pStyle w:val="11"/>
        <w:ind w:firstLine="480"/>
      </w:pPr>
      <w:r>
        <w:t>本次招标公告在</w:t>
      </w:r>
      <w:r>
        <w:rPr>
          <w:rFonts w:hint="eastAsia"/>
          <w:u w:val="single"/>
        </w:rPr>
        <w:t>重庆市蚕业总站网站（https://www.cqcyzz.com/）</w:t>
      </w:r>
      <w:r>
        <w:t>上发布。</w:t>
      </w:r>
    </w:p>
    <w:p w14:paraId="7B6EF293"/>
    <w:p w14:paraId="6A5CE384"/>
    <w:p w14:paraId="6FBB8F65">
      <w:pPr>
        <w:jc w:val="center"/>
        <w:rPr>
          <w:rFonts w:ascii="Times New Roman" w:hAnsi="Times New Roman" w:eastAsia="黑体" w:cs="Times New Roman"/>
          <w:kern w:val="44"/>
          <w:sz w:val="32"/>
          <w:szCs w:val="36"/>
        </w:rPr>
      </w:pPr>
      <w:r>
        <w:rPr>
          <w:rFonts w:ascii="Times New Roman" w:hAnsi="Times New Roman" w:eastAsia="黑体" w:cs="Times New Roman"/>
          <w:kern w:val="44"/>
          <w:sz w:val="32"/>
          <w:szCs w:val="36"/>
        </w:rPr>
        <w:t>第二部分 投标人须知</w:t>
      </w:r>
    </w:p>
    <w:p w14:paraId="4D9E32BF">
      <w:pPr>
        <w:jc w:val="center"/>
        <w:rPr>
          <w:rFonts w:ascii="Times New Roman" w:hAnsi="Times New Roman" w:eastAsia="黑体" w:cs="Times New Roman"/>
          <w:kern w:val="44"/>
          <w:sz w:val="32"/>
          <w:szCs w:val="36"/>
        </w:rPr>
      </w:pPr>
      <w:r>
        <w:rPr>
          <w:rFonts w:ascii="Times New Roman" w:hAnsi="Times New Roman" w:eastAsia="黑体" w:cs="Times New Roman"/>
          <w:kern w:val="44"/>
          <w:sz w:val="32"/>
          <w:szCs w:val="36"/>
        </w:rPr>
        <w:t>​</w:t>
      </w:r>
    </w:p>
    <w:p w14:paraId="66518BAE">
      <w:pPr>
        <w:pStyle w:val="19"/>
        <w:ind w:firstLine="482"/>
      </w:pPr>
      <w:r>
        <w:t>​1. 总则​</w:t>
      </w:r>
    </w:p>
    <w:p w14:paraId="1C690731">
      <w:pPr>
        <w:pStyle w:val="11"/>
        <w:ind w:firstLine="480"/>
      </w:pPr>
      <w:r>
        <w:t>​适用范围​：本文件适用于</w:t>
      </w:r>
      <w:r>
        <w:rPr>
          <w:rFonts w:hint="eastAsia"/>
          <w:u w:val="single"/>
        </w:rPr>
        <w:t>重庆市蚕业总站</w:t>
      </w:r>
      <w:r>
        <w:rPr>
          <w:rFonts w:hint="eastAsia"/>
          <w:u w:val="single"/>
          <w:lang w:val="en-US" w:eastAsia="zh-CN"/>
        </w:rPr>
        <w:t>储蛾房加固</w:t>
      </w:r>
      <w:r>
        <w:t xml:space="preserve">施工招标。 </w:t>
      </w:r>
    </w:p>
    <w:p w14:paraId="6CC28B2C">
      <w:pPr>
        <w:pStyle w:val="19"/>
        <w:ind w:firstLine="482"/>
      </w:pPr>
      <w:r>
        <w:t>​2. 招标文件​</w:t>
      </w:r>
    </w:p>
    <w:p w14:paraId="20583B00">
      <w:pPr>
        <w:pStyle w:val="11"/>
        <w:ind w:firstLine="480"/>
      </w:pPr>
      <w:r>
        <w:t>​组成​：包括招标公告、投标人须知、评标办法、合同条款、工程量清单、技术规范等。</w:t>
      </w:r>
    </w:p>
    <w:p w14:paraId="30BF594C">
      <w:pPr>
        <w:pStyle w:val="11"/>
        <w:ind w:firstLine="480"/>
      </w:pPr>
      <w:r>
        <w:t>​澄清与修改​：投标人对招标文件有疑问，应在投标截止前</w:t>
      </w:r>
      <w:r>
        <w:rPr>
          <w:rFonts w:hint="eastAsia"/>
          <w:u w:val="single"/>
        </w:rPr>
        <w:t>2</w:t>
      </w:r>
      <w:r>
        <w:t>日书面提出，招标人将在</w:t>
      </w:r>
      <w:r>
        <w:rPr>
          <w:rFonts w:hint="eastAsia"/>
          <w:u w:val="single"/>
        </w:rPr>
        <w:t>1</w:t>
      </w:r>
      <w:r>
        <w:t>日内答复。</w:t>
      </w:r>
    </w:p>
    <w:p w14:paraId="1F3E3DC4">
      <w:pPr>
        <w:pStyle w:val="19"/>
        <w:ind w:firstLine="482"/>
      </w:pPr>
      <w:r>
        <w:t>​3. 投标文件​</w:t>
      </w:r>
    </w:p>
    <w:p w14:paraId="1C8B581C">
      <w:pPr>
        <w:pStyle w:val="11"/>
        <w:ind w:firstLine="480"/>
      </w:pPr>
      <w:r>
        <w:t>​组成​：投标函、法定代表人身份证明、授权委托书、投标报价表、质量保障措施、安全文明施工方案等。</w:t>
      </w:r>
    </w:p>
    <w:p w14:paraId="588D85EC">
      <w:pPr>
        <w:pStyle w:val="19"/>
        <w:ind w:firstLine="482"/>
      </w:pPr>
      <w:r>
        <w:t>​4. 投标保证金​</w:t>
      </w:r>
    </w:p>
    <w:p w14:paraId="6FDE4E85">
      <w:pPr>
        <w:pStyle w:val="11"/>
        <w:ind w:firstLine="480"/>
      </w:pPr>
      <w:r>
        <w:t>​金额​：人民币</w:t>
      </w:r>
      <w:r>
        <w:rPr>
          <w:rFonts w:hint="eastAsia"/>
          <w:u w:val="single"/>
        </w:rPr>
        <w:t>1000</w:t>
      </w:r>
      <w:r>
        <w:t>元。</w:t>
      </w:r>
    </w:p>
    <w:p w14:paraId="46284D5B">
      <w:pPr>
        <w:pStyle w:val="11"/>
        <w:ind w:firstLine="480"/>
      </w:pPr>
      <w:r>
        <w:t>​缴纳方式​：汇至指定账户（开户行：</w:t>
      </w:r>
      <w:r>
        <w:rPr>
          <w:rFonts w:hint="eastAsia"/>
          <w:u w:val="single"/>
        </w:rPr>
        <w:t>农行重庆江北支行营业部</w:t>
      </w:r>
      <w:r>
        <w:t>，账号：</w:t>
      </w:r>
      <w:r>
        <w:rPr>
          <w:rFonts w:hint="eastAsia"/>
          <w:u w:val="single"/>
        </w:rPr>
        <w:t>31050101040666666</w:t>
      </w:r>
      <w:r>
        <w:t>）。</w:t>
      </w:r>
    </w:p>
    <w:p w14:paraId="373C3098">
      <w:pPr>
        <w:pStyle w:val="11"/>
        <w:ind w:firstLine="480"/>
      </w:pPr>
      <w:r>
        <w:t>​退还条件​：未中标单位在开标后</w:t>
      </w:r>
      <w:r>
        <w:rPr>
          <w:rFonts w:hint="eastAsia"/>
          <w:u w:val="single"/>
        </w:rPr>
        <w:t>5</w:t>
      </w:r>
      <w:r>
        <w:t>个工作日内无息退还，中标单位在签订合同后</w:t>
      </w:r>
      <w:r>
        <w:rPr>
          <w:rFonts w:hint="eastAsia"/>
          <w:u w:val="single"/>
        </w:rPr>
        <w:t>5</w:t>
      </w:r>
      <w:r>
        <w:t>日内退还。</w:t>
      </w:r>
    </w:p>
    <w:p w14:paraId="05E30E38">
      <w:pPr>
        <w:pStyle w:val="19"/>
        <w:ind w:firstLine="482"/>
      </w:pPr>
      <w:r>
        <w:t>​5. 投标文件的递交与密封​</w:t>
      </w:r>
    </w:p>
    <w:p w14:paraId="2651660D">
      <w:pPr>
        <w:pStyle w:val="11"/>
        <w:ind w:firstLine="480"/>
      </w:pPr>
      <w:r>
        <w:t>​密封要求​：未按要求密封或逾期送达的投标文件将被拒收。</w:t>
      </w:r>
    </w:p>
    <w:p w14:paraId="1812534B"/>
    <w:p w14:paraId="12121301"/>
    <w:p w14:paraId="779E5E72">
      <w:pPr>
        <w:jc w:val="center"/>
        <w:rPr>
          <w:rFonts w:ascii="Times New Roman" w:hAnsi="Times New Roman" w:eastAsia="黑体" w:cs="Times New Roman"/>
          <w:kern w:val="44"/>
          <w:sz w:val="32"/>
          <w:szCs w:val="36"/>
        </w:rPr>
      </w:pPr>
      <w:r>
        <w:rPr>
          <w:rFonts w:ascii="Times New Roman" w:hAnsi="Times New Roman" w:eastAsia="黑体" w:cs="Times New Roman"/>
          <w:kern w:val="44"/>
          <w:sz w:val="32"/>
          <w:szCs w:val="36"/>
        </w:rPr>
        <w:t>第三部分 工程内容及标准要求</w:t>
      </w:r>
    </w:p>
    <w:p w14:paraId="3CC37D71">
      <w:pPr>
        <w:jc w:val="center"/>
        <w:rPr>
          <w:rFonts w:ascii="Times New Roman" w:hAnsi="Times New Roman" w:eastAsia="黑体" w:cs="Times New Roman"/>
          <w:kern w:val="44"/>
          <w:sz w:val="32"/>
          <w:szCs w:val="36"/>
        </w:rPr>
      </w:pPr>
    </w:p>
    <w:p w14:paraId="059D2AF6">
      <w:pPr>
        <w:pStyle w:val="11"/>
        <w:ind w:firstLine="482"/>
        <w:rPr>
          <w:rFonts w:ascii="Calibri" w:hAnsi="Calibri"/>
          <w:b/>
        </w:rPr>
      </w:pPr>
      <w:r>
        <w:rPr>
          <w:rFonts w:hint="eastAsia" w:ascii="Calibri" w:hAnsi="Calibri"/>
          <w:b/>
        </w:rPr>
        <w:t>1、维修内容</w:t>
      </w:r>
    </w:p>
    <w:p w14:paraId="7985D59D">
      <w:pPr>
        <w:pStyle w:val="11"/>
        <w:ind w:firstLine="480"/>
        <w:rPr>
          <w:rFonts w:hint="default" w:eastAsia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 铺面外加立柱5根，300mm*500mm*300mm钢筋混凝土（8箍筋、12钢筋、C30混凝土）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现浇立柱，含加固顶撑。</w:t>
      </w:r>
    </w:p>
    <w:p w14:paraId="1E60D55C">
      <w:pPr>
        <w:pStyle w:val="11"/>
        <w:ind w:firstLine="48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1.2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柱子基层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5根，开挖600mm*600mm、下沉600mm现浇的地基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03E5DE80">
      <w:pPr>
        <w:pStyle w:val="11"/>
        <w:ind w:firstLine="48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1.3 户外顶面补烂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1项，挑檐水泥补烂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5334E0F8">
      <w:pPr>
        <w:pStyle w:val="11"/>
        <w:ind w:firstLine="480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1.4 屋内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墙面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拉裂缝补缝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1项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拉裂缝用水泥补缝。</w:t>
      </w:r>
    </w:p>
    <w:p w14:paraId="5C49B2A3">
      <w:pPr>
        <w:pStyle w:val="11"/>
        <w:ind w:firstLine="48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1.5 室内加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矩管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24根（40mm*100mm镀锌方管0.3mm厚），底部钢板24块（100mm*200mm*10mm），做好防锈处理再安装。</w:t>
      </w:r>
    </w:p>
    <w:p w14:paraId="76C63C59">
      <w:pPr>
        <w:pStyle w:val="11"/>
        <w:ind w:firstLine="48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1.6大门口两侧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墙面喷真石漆26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㎡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、地面往地打3个（200mm深、110mm）大小的洞孔，洞孔插相应大小的3根（800mm高、2mm厚）镀锌管桩子，桩子与桩子之间用12m的铁链连接。</w:t>
      </w:r>
    </w:p>
    <w:p w14:paraId="1256F195">
      <w:pPr>
        <w:pStyle w:val="11"/>
        <w:ind w:firstLine="482"/>
        <w:rPr>
          <w:rFonts w:ascii="Calibri" w:hAnsi="Calibri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Calibri" w:hAnsi="Calibri"/>
          <w:b/>
          <w:color w:val="000000" w:themeColor="text1"/>
          <w14:textFill>
            <w14:solidFill>
              <w14:schemeClr w14:val="tx1"/>
            </w14:solidFill>
          </w14:textFill>
        </w:rPr>
        <w:t>2、标准要求</w:t>
      </w:r>
    </w:p>
    <w:p w14:paraId="0529247C">
      <w:pPr>
        <w:pStyle w:val="11"/>
        <w:ind w:firstLine="48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使用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所有材料和施工工艺必须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符合国家质</w:t>
      </w:r>
      <w:bookmarkStart w:id="0" w:name="_GoBack"/>
      <w:bookmarkEnd w:id="0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量标准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符合相关安全标准。</w:t>
      </w:r>
    </w:p>
    <w:p w14:paraId="57A0B081">
      <w:pPr>
        <w:pStyle w:val="11"/>
        <w:numPr>
          <w:ilvl w:val="0"/>
          <w:numId w:val="1"/>
        </w:numPr>
        <w:ind w:firstLine="480"/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质保期</w:t>
      </w:r>
    </w:p>
    <w:p w14:paraId="00E90532">
      <w:pPr>
        <w:pStyle w:val="11"/>
        <w:numPr>
          <w:ilvl w:val="0"/>
          <w:numId w:val="0"/>
        </w:numPr>
        <w:ind w:firstLine="48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自竣工验收合格之日起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墙面喷漆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不少于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5年，钢筋混泥土立柱不少于10年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，质保期内出现质量问题，供应商免费维修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或更换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1F1DBF17">
      <w:pPr>
        <w:pStyle w:val="11"/>
        <w:ind w:firstLine="48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FA8BDBE">
      <w:pPr>
        <w:pStyle w:val="18"/>
      </w:pPr>
      <w:r>
        <w:rPr>
          <w:rFonts w:hint="eastAsia"/>
        </w:rPr>
        <w:t xml:space="preserve">第四部分  </w:t>
      </w:r>
      <w:r>
        <w:t>评标办法​​</w:t>
      </w:r>
    </w:p>
    <w:p w14:paraId="1A83F33F">
      <w:pPr>
        <w:pStyle w:val="19"/>
        <w:ind w:firstLine="482"/>
      </w:pPr>
      <w:r>
        <w:t>1. 评标委员会​</w:t>
      </w:r>
    </w:p>
    <w:p w14:paraId="3B4E44AE">
      <w:pPr>
        <w:pStyle w:val="11"/>
        <w:ind w:firstLine="480"/>
      </w:pPr>
      <w:r>
        <w:t>组成​：由招标人代表组成，人数为</w:t>
      </w:r>
      <w:r>
        <w:rPr>
          <w:rFonts w:hint="eastAsia"/>
          <w:u w:val="single"/>
        </w:rPr>
        <w:t>5</w:t>
      </w:r>
      <w:r>
        <w:t>人。</w:t>
      </w:r>
    </w:p>
    <w:p w14:paraId="7C6AE86E">
      <w:pPr>
        <w:pStyle w:val="19"/>
        <w:ind w:firstLine="482"/>
      </w:pPr>
      <w:r>
        <w:t>2. 评分标准​</w:t>
      </w:r>
    </w:p>
    <w:p w14:paraId="29CC3944">
      <w:pPr>
        <w:pStyle w:val="11"/>
        <w:ind w:firstLine="480"/>
        <w:rPr>
          <w:rFonts w:hint="default" w:eastAsia="宋体"/>
          <w:lang w:val="en-US" w:eastAsia="zh-CN"/>
        </w:rPr>
      </w:pPr>
      <w:r>
        <w:rPr>
          <w:rFonts w:hint="eastAsia"/>
        </w:rPr>
        <w:t>选择“</w:t>
      </w:r>
      <w:r>
        <w:rPr>
          <w:rFonts w:hint="eastAsia"/>
          <w:lang w:val="en-US" w:eastAsia="zh-CN"/>
        </w:rPr>
        <w:t>竞争性比价</w:t>
      </w:r>
      <w:r>
        <w:rPr>
          <w:rFonts w:hint="eastAsia"/>
        </w:rPr>
        <w:t>”</w:t>
      </w:r>
      <w:r>
        <w:rPr>
          <w:rFonts w:hint="eastAsia"/>
          <w:lang w:val="en-US" w:eastAsia="zh-CN"/>
        </w:rPr>
        <w:t>评标委员会择优确定</w:t>
      </w:r>
      <w:r>
        <w:rPr>
          <w:rFonts w:hint="eastAsia"/>
        </w:rPr>
        <w:t>中标</w:t>
      </w:r>
      <w:r>
        <w:rPr>
          <w:rFonts w:hint="eastAsia"/>
          <w:lang w:val="en-US" w:eastAsia="zh-CN"/>
        </w:rPr>
        <w:t>单位</w:t>
      </w:r>
      <w:r>
        <w:rPr>
          <w:rFonts w:hint="eastAsia"/>
        </w:rPr>
        <w:t>。</w:t>
      </w:r>
    </w:p>
    <w:p w14:paraId="250D8016">
      <w:pPr>
        <w:pStyle w:val="19"/>
        <w:rPr>
          <w:rFonts w:hint="eastAsia"/>
        </w:rPr>
      </w:pPr>
      <w:r>
        <w:rPr>
          <w:rFonts w:hint="eastAsia"/>
          <w:lang w:val="en-US" w:eastAsia="zh-CN"/>
        </w:rPr>
        <w:t>3. 废标情形</w:t>
      </w:r>
    </w:p>
    <w:p w14:paraId="519240E3">
      <w:pPr>
        <w:pStyle w:val="19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3.1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报价高于最高限价；</w:t>
      </w:r>
    </w:p>
    <w:p w14:paraId="0F354467">
      <w:pPr>
        <w:pStyle w:val="19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3.2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资质材料不全，不满足资格要求；</w:t>
      </w:r>
    </w:p>
    <w:p w14:paraId="2B5EB6A0">
      <w:pPr>
        <w:pStyle w:val="19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3.3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响应文件未加盖公章、逾期送达；</w:t>
      </w:r>
    </w:p>
    <w:p w14:paraId="043BAA19">
      <w:pPr>
        <w:pStyle w:val="19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3.4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存在弄虚作假、挂靠转包；</w:t>
      </w:r>
    </w:p>
    <w:p w14:paraId="17F61D97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3.5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不响应项目实质性要求。</w:t>
      </w:r>
    </w:p>
    <w:p w14:paraId="5FD488C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textAlignment w:val="auto"/>
        <w:rPr>
          <w:rFonts w:hint="eastAsia" w:ascii="Calibri" w:hAnsi="Calibri" w:eastAsia="宋体" w:cs="Times New Roman"/>
          <w:b/>
          <w:kern w:val="0"/>
          <w:sz w:val="24"/>
          <w:szCs w:val="20"/>
          <w:lang w:val="en-US" w:eastAsia="zh-CN" w:bidi="ar-SA"/>
        </w:rPr>
      </w:pPr>
      <w:r>
        <w:rPr>
          <w:rFonts w:hint="eastAsia" w:ascii="Calibri" w:hAnsi="Calibri" w:eastAsia="宋体" w:cs="Times New Roman"/>
          <w:b/>
          <w:kern w:val="0"/>
          <w:sz w:val="24"/>
          <w:szCs w:val="20"/>
          <w:lang w:val="en-US" w:eastAsia="zh-CN" w:bidi="ar-SA"/>
        </w:rPr>
        <w:t> 评分标准（总分100分）</w:t>
      </w:r>
    </w:p>
    <w:p w14:paraId="58F08AD4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/>
        <w:textAlignment w:val="auto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4.1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报价（50分）：以有效最低报价为基准价；若报价明显低于成本，评审组可要求书面说明，无法合理解释作废标。</w:t>
      </w:r>
    </w:p>
    <w:p w14:paraId="51ED27F3">
      <w:pPr>
        <w:pStyle w:val="19"/>
        <w:ind w:firstLine="482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4.2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施工方案（25分）</w:t>
      </w:r>
    </w:p>
    <w:p w14:paraId="2FFD13AE">
      <w:pPr>
        <w:pStyle w:val="19"/>
        <w:ind w:firstLine="482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施工工序、组织安排10分；安全文明施工、现场防护8分；垃圾清运、成品保护7分。</w:t>
      </w:r>
    </w:p>
    <w:p w14:paraId="0ECC22F0">
      <w:pPr>
        <w:pStyle w:val="19"/>
        <w:ind w:firstLine="482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4.3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业绩实力（15分）：近2年同类维修项目，每份有效业绩5分，最高15分。</w:t>
      </w:r>
    </w:p>
    <w:p w14:paraId="1E562D4F">
      <w:pPr>
        <w:pStyle w:val="19"/>
        <w:ind w:firstLine="482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4.4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质保及售后服务（10分）：质保承诺、故障响应、维保方案。</w:t>
      </w:r>
    </w:p>
    <w:p w14:paraId="50C835E1">
      <w:pPr>
        <w:pStyle w:val="19"/>
        <w:ind w:firstLine="482"/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</w:pPr>
      <w:r>
        <w:rPr>
          <w:rFonts w:hint="eastAsia" w:ascii="Times New Roman" w:hAnsi="Times New Roman" w:cs="Times New Roman"/>
          <w:b w:val="0"/>
          <w:sz w:val="24"/>
          <w:lang w:val="en-US" w:eastAsia="zh-CN" w:bidi="ar-SA"/>
        </w:rPr>
        <w:t>4.5</w:t>
      </w:r>
      <w:r>
        <w:rPr>
          <w:rFonts w:hint="eastAsia" w:ascii="Times New Roman" w:hAnsi="Times New Roman" w:eastAsia="宋体" w:cs="Times New Roman"/>
          <w:b w:val="0"/>
          <w:sz w:val="24"/>
          <w:lang w:val="en-US" w:eastAsia="zh-CN" w:bidi="ar-SA"/>
        </w:rPr>
        <w:t> 成交规则：按综合得分从高到低排序，第一名作为第一成交候选人；若第一名放弃成交资格，依次顺延第二名，以此类推。</w:t>
      </w:r>
    </w:p>
    <w:p w14:paraId="2BC7E0F7"/>
    <w:p w14:paraId="57459EEA">
      <w:pPr>
        <w:pStyle w:val="18"/>
      </w:pPr>
      <w:r>
        <w:t>第五部分 合同条款及格式​</w:t>
      </w:r>
    </w:p>
    <w:p w14:paraId="7A1ABB20">
      <w:pPr>
        <w:pStyle w:val="19"/>
        <w:ind w:firstLine="482"/>
      </w:pPr>
      <w:r>
        <w:t>​</w:t>
      </w:r>
    </w:p>
    <w:p w14:paraId="1A241004">
      <w:pPr>
        <w:pStyle w:val="19"/>
        <w:ind w:firstLine="482"/>
      </w:pPr>
      <w:r>
        <w:t>1. 合同协议书​</w:t>
      </w:r>
    </w:p>
    <w:p w14:paraId="5A5B7C62">
      <w:pPr>
        <w:pStyle w:val="11"/>
        <w:ind w:firstLine="480"/>
      </w:pPr>
      <w:r>
        <w:t>​工程范围​：明确施工内容及变更条款。</w:t>
      </w:r>
    </w:p>
    <w:p w14:paraId="58C6E049">
      <w:pPr>
        <w:pStyle w:val="11"/>
        <w:ind w:firstLine="480"/>
      </w:pPr>
      <w:r>
        <w:t>​工期要求​：约定开工日期、竣工日期及工期延误责任。</w:t>
      </w:r>
    </w:p>
    <w:p w14:paraId="6C73B44F">
      <w:pPr>
        <w:pStyle w:val="11"/>
        <w:ind w:firstLine="480"/>
      </w:pPr>
      <w:r>
        <w:t>​质量标准​：符合国家现行施工验收规范合格标准。</w:t>
      </w:r>
    </w:p>
    <w:p w14:paraId="700E4F63">
      <w:pPr>
        <w:pStyle w:val="11"/>
        <w:ind w:firstLine="480"/>
      </w:pPr>
      <w:r>
        <w:t>​合同价款​：采用固定总价/单价合同，明确调整方式。</w:t>
      </w:r>
    </w:p>
    <w:p w14:paraId="7CC54682">
      <w:pPr>
        <w:pStyle w:val="19"/>
        <w:ind w:firstLine="482"/>
      </w:pPr>
      <w:r>
        <w:t>​2. 专用条款​</w:t>
      </w:r>
    </w:p>
    <w:p w14:paraId="63C5620B">
      <w:pPr>
        <w:pStyle w:val="11"/>
        <w:ind w:firstLine="480"/>
      </w:pPr>
      <w:r>
        <w:t>​付款方式​：按工程进度支付，预付款比例</w:t>
      </w:r>
      <w:r>
        <w:rPr>
          <w:rFonts w:hint="eastAsia"/>
          <w:u w:val="single"/>
        </w:rPr>
        <w:t>30</w:t>
      </w:r>
      <w:r>
        <w:t>%，进度款支付节点</w:t>
      </w:r>
      <w:r>
        <w:rPr>
          <w:rFonts w:hint="eastAsia"/>
          <w:u w:val="single"/>
        </w:rPr>
        <w:t>完成工程量100%，经验收后一次性支付剩余70%</w:t>
      </w:r>
      <w:r>
        <w:t>。</w:t>
      </w:r>
    </w:p>
    <w:p w14:paraId="1814D5A8">
      <w:pPr>
        <w:pStyle w:val="11"/>
        <w:ind w:firstLine="480"/>
      </w:pPr>
      <w:r>
        <w:t>​违约责任​：工期延误</w:t>
      </w:r>
      <w:r>
        <w:rPr>
          <w:rFonts w:hint="eastAsia"/>
        </w:rPr>
        <w:t>按</w:t>
      </w:r>
      <w:r>
        <w:rPr>
          <w:rFonts w:hint="eastAsia"/>
          <w:u w:val="single"/>
        </w:rPr>
        <w:t>合同总额的0.05%-0.1%/日</w:t>
      </w:r>
      <w:r>
        <w:rPr>
          <w:rFonts w:hint="eastAsia"/>
        </w:rPr>
        <w:t>设定违约金</w:t>
      </w:r>
      <w:r>
        <w:t>处罚，质量不合格需无偿返工。</w:t>
      </w:r>
    </w:p>
    <w:p w14:paraId="3A9E7B18"/>
    <w:p w14:paraId="08E9FA80">
      <w:pPr>
        <w:pStyle w:val="18"/>
      </w:pPr>
      <w:r>
        <w:t>​第六部分 工程量清单与技术规范​</w:t>
      </w:r>
    </w:p>
    <w:p w14:paraId="3A7473C6">
      <w:pPr>
        <w:pStyle w:val="19"/>
        <w:ind w:firstLine="482"/>
      </w:pPr>
      <w:r>
        <w:t>​1. 工程量清单​</w:t>
      </w:r>
    </w:p>
    <w:p w14:paraId="0CBDE9BB">
      <w:pPr>
        <w:pStyle w:val="11"/>
        <w:ind w:firstLine="480"/>
      </w:pPr>
      <w:r>
        <w:t>按《建设工程工程量清单计价</w:t>
      </w:r>
      <w:r>
        <w:rPr>
          <w:rFonts w:hint="eastAsia"/>
          <w:lang w:val="en-US" w:eastAsia="zh-CN"/>
        </w:rPr>
        <w:t>规</w:t>
      </w:r>
      <w:r>
        <w:t>范》编制，附</w:t>
      </w:r>
      <w:r>
        <w:rPr>
          <w:rFonts w:hint="eastAsia"/>
          <w:lang w:val="en-US" w:eastAsia="zh-CN"/>
        </w:rPr>
        <w:t>件</w:t>
      </w:r>
      <w:r>
        <w:t>部分项工程量清单、措施项目清单等。</w:t>
      </w:r>
    </w:p>
    <w:p w14:paraId="25E0A7A5">
      <w:pPr>
        <w:pStyle w:val="19"/>
        <w:ind w:firstLine="482"/>
      </w:pPr>
      <w:r>
        <w:t>​2. 技术规范​</w:t>
      </w:r>
    </w:p>
    <w:p w14:paraId="3142A012">
      <w:pPr>
        <w:pStyle w:val="11"/>
        <w:ind w:firstLine="480"/>
      </w:pPr>
      <w:r>
        <w:t>​材料要求​：提供主材的品牌、规格及检测标准。</w:t>
      </w:r>
    </w:p>
    <w:p w14:paraId="3447C90E">
      <w:pPr>
        <w:pStyle w:val="11"/>
        <w:ind w:firstLine="480"/>
        <w:rPr>
          <w:rFonts w:hint="eastAsia" w:eastAsia="宋体"/>
          <w:lang w:eastAsia="zh-CN"/>
        </w:rPr>
      </w:pPr>
      <w:r>
        <w:t>​施工工艺​：按照规定确定安装、防水等关键工艺标准</w:t>
      </w:r>
      <w:r>
        <w:rPr>
          <w:rFonts w:hint="eastAsia"/>
          <w:lang w:eastAsia="zh-CN"/>
        </w:rPr>
        <w:t>。</w:t>
      </w:r>
    </w:p>
    <w:p w14:paraId="40F8F6E0"/>
    <w:p w14:paraId="23B063FD">
      <w:pPr>
        <w:jc w:val="center"/>
        <w:rPr>
          <w:rFonts w:ascii="Times New Roman" w:hAnsi="Times New Roman" w:eastAsia="黑体" w:cs="Times New Roman"/>
          <w:kern w:val="44"/>
          <w:sz w:val="32"/>
          <w:szCs w:val="36"/>
        </w:rPr>
      </w:pPr>
      <w:r>
        <w:rPr>
          <w:rFonts w:ascii="Times New Roman" w:hAnsi="Times New Roman" w:eastAsia="黑体" w:cs="Times New Roman"/>
          <w:kern w:val="44"/>
          <w:sz w:val="32"/>
          <w:szCs w:val="36"/>
        </w:rPr>
        <w:t>第</w:t>
      </w:r>
      <w:r>
        <w:rPr>
          <w:rFonts w:hint="eastAsia" w:ascii="Times New Roman" w:hAnsi="Times New Roman" w:eastAsia="黑体" w:cs="Times New Roman"/>
          <w:kern w:val="44"/>
          <w:sz w:val="32"/>
          <w:szCs w:val="36"/>
          <w:lang w:val="en-US" w:eastAsia="zh-CN"/>
        </w:rPr>
        <w:t>七</w:t>
      </w:r>
      <w:r>
        <w:rPr>
          <w:rFonts w:ascii="Times New Roman" w:hAnsi="Times New Roman" w:eastAsia="黑体" w:cs="Times New Roman"/>
          <w:kern w:val="44"/>
          <w:sz w:val="32"/>
          <w:szCs w:val="36"/>
        </w:rPr>
        <w:t>部分 监督与争议解决​</w:t>
      </w:r>
    </w:p>
    <w:p w14:paraId="62E5D863">
      <w:pPr>
        <w:jc w:val="center"/>
        <w:rPr>
          <w:rFonts w:ascii="Times New Roman" w:hAnsi="Times New Roman" w:eastAsia="黑体" w:cs="Times New Roman"/>
          <w:kern w:val="44"/>
          <w:sz w:val="32"/>
          <w:szCs w:val="36"/>
        </w:rPr>
      </w:pPr>
    </w:p>
    <w:p w14:paraId="06697526">
      <w:pPr>
        <w:pStyle w:val="11"/>
        <w:ind w:firstLine="480"/>
      </w:pPr>
      <w:r>
        <w:t>​争议解决​：协商不成时，向</w:t>
      </w:r>
      <w:r>
        <w:rPr>
          <w:rFonts w:hint="eastAsia"/>
          <w:u w:val="single"/>
          <w:lang w:val="en-US" w:eastAsia="zh-CN"/>
        </w:rPr>
        <w:t>两江新区</w:t>
      </w:r>
      <w:r>
        <w:t>人民法院提起诉讼。</w:t>
      </w:r>
    </w:p>
    <w:p w14:paraId="68F34950">
      <w:pPr>
        <w:pStyle w:val="11"/>
        <w:ind w:firstLine="480"/>
      </w:pPr>
      <w:r>
        <w:rPr>
          <w:rFonts w:hint="eastAsia"/>
        </w:rPr>
        <w:t xml:space="preserve">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B117E1"/>
    <w:multiLevelType w:val="singleLevel"/>
    <w:tmpl w:val="90B117E1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C16BC00"/>
    <w:multiLevelType w:val="singleLevel"/>
    <w:tmpl w:val="CC16BC00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153"/>
    <w:rsid w:val="00055681"/>
    <w:rsid w:val="00155BE6"/>
    <w:rsid w:val="00171C21"/>
    <w:rsid w:val="003528F9"/>
    <w:rsid w:val="004C6B4C"/>
    <w:rsid w:val="00535F19"/>
    <w:rsid w:val="00561220"/>
    <w:rsid w:val="00561C35"/>
    <w:rsid w:val="00593A1C"/>
    <w:rsid w:val="006064AC"/>
    <w:rsid w:val="006666CD"/>
    <w:rsid w:val="00682153"/>
    <w:rsid w:val="007F5EC0"/>
    <w:rsid w:val="00814D65"/>
    <w:rsid w:val="00822D42"/>
    <w:rsid w:val="008730D9"/>
    <w:rsid w:val="00907AE7"/>
    <w:rsid w:val="00975411"/>
    <w:rsid w:val="00AE606D"/>
    <w:rsid w:val="00B0509D"/>
    <w:rsid w:val="00B43BA2"/>
    <w:rsid w:val="00C415AB"/>
    <w:rsid w:val="00D830D5"/>
    <w:rsid w:val="00E65328"/>
    <w:rsid w:val="12451C8A"/>
    <w:rsid w:val="166A7645"/>
    <w:rsid w:val="16B67315"/>
    <w:rsid w:val="16DE7DF3"/>
    <w:rsid w:val="17B339D8"/>
    <w:rsid w:val="1BA84E74"/>
    <w:rsid w:val="1C5D7F20"/>
    <w:rsid w:val="1D994A74"/>
    <w:rsid w:val="1EB678A8"/>
    <w:rsid w:val="208B1E9C"/>
    <w:rsid w:val="20A0380B"/>
    <w:rsid w:val="21E82062"/>
    <w:rsid w:val="292C61E0"/>
    <w:rsid w:val="2C4209CD"/>
    <w:rsid w:val="30654C8A"/>
    <w:rsid w:val="30CD2A66"/>
    <w:rsid w:val="334C0751"/>
    <w:rsid w:val="359C195C"/>
    <w:rsid w:val="384150F9"/>
    <w:rsid w:val="3ABA471E"/>
    <w:rsid w:val="40E55F12"/>
    <w:rsid w:val="43C024AB"/>
    <w:rsid w:val="44171416"/>
    <w:rsid w:val="442A6F8B"/>
    <w:rsid w:val="47DE55F6"/>
    <w:rsid w:val="53282430"/>
    <w:rsid w:val="553E5926"/>
    <w:rsid w:val="574A2360"/>
    <w:rsid w:val="5DA06080"/>
    <w:rsid w:val="5F2B0CC9"/>
    <w:rsid w:val="60076B58"/>
    <w:rsid w:val="60F021CA"/>
    <w:rsid w:val="67B440A3"/>
    <w:rsid w:val="6BEC2106"/>
    <w:rsid w:val="6F4831D1"/>
    <w:rsid w:val="6FC211D5"/>
    <w:rsid w:val="76767AB2"/>
    <w:rsid w:val="76BD26F7"/>
    <w:rsid w:val="790564A3"/>
    <w:rsid w:val="799F60E4"/>
    <w:rsid w:val="7ABE1914"/>
    <w:rsid w:val="7BF61C36"/>
    <w:rsid w:val="7C033DC9"/>
    <w:rsid w:val="7E0A1445"/>
    <w:rsid w:val="7EF9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240" w:after="120" w:line="360" w:lineRule="auto"/>
      <w:outlineLvl w:val="0"/>
    </w:pPr>
    <w:rPr>
      <w:rFonts w:ascii="宋体" w:hAnsi="宋体" w:eastAsia="宋体" w:cs="宋体"/>
      <w:b/>
      <w:bCs/>
      <w:kern w:val="44"/>
      <w:sz w:val="24"/>
      <w:szCs w:val="30"/>
      <w:lang w:val="en-US" w:eastAsia="zh-CN"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spacing w:after="120" w:line="360" w:lineRule="auto"/>
      <w:outlineLvl w:val="1"/>
    </w:pPr>
    <w:rPr>
      <w:rFonts w:ascii="Times New Roman" w:hAnsi="Times New Roman" w:eastAsia="宋体" w:cs="Times New Roman"/>
      <w:b/>
      <w:sz w:val="24"/>
      <w:lang w:val="en-US" w:eastAsia="zh-CN" w:bidi="ar-SA"/>
    </w:rPr>
  </w:style>
  <w:style w:type="paragraph" w:styleId="4">
    <w:name w:val="heading 3"/>
    <w:next w:val="1"/>
    <w:semiHidden/>
    <w:unhideWhenUsed/>
    <w:qFormat/>
    <w:uiPriority w:val="0"/>
    <w:pPr>
      <w:widowControl w:val="0"/>
      <w:spacing w:after="120" w:line="360" w:lineRule="auto"/>
      <w:outlineLvl w:val="2"/>
    </w:pPr>
    <w:rPr>
      <w:rFonts w:ascii="Times New Roman" w:hAnsi="Times New Roman" w:eastAsia="宋体" w:cs="Times New Roman"/>
      <w:b/>
      <w:sz w:val="24"/>
      <w:lang w:val="en-US" w:eastAsia="zh-CN" w:bidi="ar-SA"/>
    </w:rPr>
  </w:style>
  <w:style w:type="paragraph" w:styleId="5">
    <w:name w:val="heading 4"/>
    <w:next w:val="1"/>
    <w:semiHidden/>
    <w:unhideWhenUsed/>
    <w:qFormat/>
    <w:uiPriority w:val="0"/>
    <w:pPr>
      <w:widowControl w:val="0"/>
      <w:spacing w:after="120" w:line="360" w:lineRule="auto"/>
      <w:outlineLvl w:val="3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6">
    <w:name w:val="heading 5"/>
    <w:next w:val="1"/>
    <w:semiHidden/>
    <w:unhideWhenUsed/>
    <w:qFormat/>
    <w:uiPriority w:val="0"/>
    <w:pPr>
      <w:widowControl w:val="0"/>
      <w:spacing w:after="120" w:line="440" w:lineRule="exact"/>
      <w:outlineLvl w:val="4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7">
    <w:name w:val="heading 6"/>
    <w:next w:val="1"/>
    <w:semiHidden/>
    <w:unhideWhenUsed/>
    <w:qFormat/>
    <w:uiPriority w:val="0"/>
    <w:pPr>
      <w:widowControl w:val="0"/>
      <w:spacing w:after="120" w:line="360" w:lineRule="auto"/>
      <w:outlineLvl w:val="5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8">
    <w:name w:val="heading 7"/>
    <w:next w:val="1"/>
    <w:semiHidden/>
    <w:unhideWhenUsed/>
    <w:qFormat/>
    <w:uiPriority w:val="0"/>
    <w:pPr>
      <w:widowControl w:val="0"/>
      <w:spacing w:after="120" w:line="360" w:lineRule="auto"/>
      <w:outlineLvl w:val="6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9">
    <w:name w:val="heading 8"/>
    <w:next w:val="1"/>
    <w:semiHidden/>
    <w:unhideWhenUsed/>
    <w:qFormat/>
    <w:uiPriority w:val="0"/>
    <w:pPr>
      <w:widowControl w:val="0"/>
      <w:spacing w:after="120" w:line="360" w:lineRule="auto"/>
      <w:outlineLvl w:val="7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10">
    <w:name w:val="heading 9"/>
    <w:next w:val="1"/>
    <w:semiHidden/>
    <w:unhideWhenUsed/>
    <w:qFormat/>
    <w:uiPriority w:val="0"/>
    <w:pPr>
      <w:widowControl w:val="0"/>
      <w:spacing w:after="120" w:line="360" w:lineRule="auto"/>
      <w:outlineLvl w:val="8"/>
    </w:pPr>
    <w:rPr>
      <w:rFonts w:ascii="Times New Roman" w:hAnsi="Times New Roman" w:eastAsia="宋体" w:cs="Times New Roman"/>
      <w:sz w:val="24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spacing w:after="120" w:line="360" w:lineRule="auto"/>
      <w:ind w:firstLine="420" w:firstLineChars="200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12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qFormat/>
    <w:uiPriority w:val="0"/>
    <w:pPr>
      <w:widowControl w:val="0"/>
      <w:spacing w:after="240"/>
      <w:jc w:val="center"/>
    </w:pPr>
    <w:rPr>
      <w:rFonts w:ascii="Times New Roman" w:hAnsi="Times New Roman" w:eastAsia="宋体" w:cs="Times New Roman"/>
      <w:kern w:val="28"/>
      <w:sz w:val="21"/>
      <w:lang w:val="en-US" w:eastAsia="zh-CN" w:bidi="ar-SA"/>
    </w:rPr>
  </w:style>
  <w:style w:type="paragraph" w:styleId="15">
    <w:name w:val="Title"/>
    <w:qFormat/>
    <w:uiPriority w:val="0"/>
    <w:pPr>
      <w:spacing w:before="240" w:after="240"/>
      <w:jc w:val="center"/>
    </w:pPr>
    <w:rPr>
      <w:rFonts w:ascii="Times New Roman" w:hAnsi="Times New Roman" w:eastAsia="宋体" w:cs="Times New Roman"/>
      <w:b/>
      <w:sz w:val="32"/>
      <w:lang w:val="en-US" w:eastAsia="zh-CN" w:bidi="ar-SA"/>
    </w:rPr>
  </w:style>
  <w:style w:type="paragraph" w:customStyle="1" w:styleId="18">
    <w:name w:val="章节标题"/>
    <w:next w:val="1"/>
    <w:qFormat/>
    <w:uiPriority w:val="0"/>
    <w:pPr>
      <w:widowControl w:val="0"/>
      <w:spacing w:before="240" w:after="240"/>
      <w:jc w:val="center"/>
      <w:outlineLvl w:val="0"/>
    </w:pPr>
    <w:rPr>
      <w:rFonts w:ascii="Times New Roman" w:hAnsi="Times New Roman" w:eastAsia="黑体" w:cs="Times New Roman"/>
      <w:kern w:val="44"/>
      <w:sz w:val="32"/>
      <w:szCs w:val="36"/>
      <w:lang w:val="en-US" w:eastAsia="zh-CN" w:bidi="ar-SA"/>
    </w:rPr>
  </w:style>
  <w:style w:type="paragraph" w:customStyle="1" w:styleId="19">
    <w:name w:val="强调标题"/>
    <w:next w:val="1"/>
    <w:qFormat/>
    <w:uiPriority w:val="0"/>
    <w:pPr>
      <w:spacing w:after="120" w:line="360" w:lineRule="auto"/>
      <w:ind w:firstLine="420" w:firstLineChars="200"/>
      <w:outlineLvl w:val="0"/>
    </w:pPr>
    <w:rPr>
      <w:rFonts w:ascii="Calibri" w:hAnsi="Calibri" w:eastAsia="宋体" w:cs="Times New Roman"/>
      <w:b/>
      <w:sz w:val="24"/>
      <w:lang w:val="en-US" w:eastAsia="zh-CN" w:bidi="ar-SA"/>
    </w:rPr>
  </w:style>
  <w:style w:type="character" w:customStyle="1" w:styleId="20">
    <w:name w:val="页眉 Char"/>
    <w:basedOn w:val="17"/>
    <w:link w:val="13"/>
    <w:qFormat/>
    <w:uiPriority w:val="0"/>
    <w:rPr>
      <w:kern w:val="2"/>
      <w:sz w:val="18"/>
      <w:szCs w:val="18"/>
    </w:rPr>
  </w:style>
  <w:style w:type="character" w:customStyle="1" w:styleId="21">
    <w:name w:val="页脚 Char"/>
    <w:basedOn w:val="17"/>
    <w:link w:val="1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83</Words>
  <Characters>106</Characters>
  <Lines>17</Lines>
  <Paragraphs>4</Paragraphs>
  <TotalTime>70</TotalTime>
  <ScaleCrop>false</ScaleCrop>
  <LinksUpToDate>false</LinksUpToDate>
  <CharactersWithSpaces>146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2025-06-24T08:45:00Z</dcterms:created>
  <dc:creator>hyx</dc:creator>
  <cp:lastModifiedBy>星泽</cp:lastModifiedBy>
  <dcterms:modified xsi:type="dcterms:W3CDTF">2026-10-20T07:52:43Z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eyJoZGlkIjoiMjliYjIwOTFjNTY5Y2E5YWYyYmJmZDY5NDE3OTM1ZGIiLCJ1c2VySWQiOiIxMTQ2MjkyMjU4In0=</vt:lpwstr>
  </property>
  <property fmtid="{D5CDD505-2E9C-101B-9397-08002B2CF9AE}" pid="4" name="ICV">
    <vt:lpwstr>7E4264848AC74F50B662414078959981_13</vt:lpwstr>
  </property>
</Properties>
</file>